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36958" w:rsidR="00C36958" w:rsidP="00C36958" w:rsidRDefault="00C36958" w14:paraId="1AF80766" w14:textId="77777777">
      <w:pPr>
        <w:rPr>
          <w:rFonts w:asciiTheme="majorHAnsi" w:hAnsiTheme="majorHAnsi"/>
          <w:lang w:eastAsia="de-DE"/>
        </w:rPr>
      </w:pPr>
      <w:r w:rsidRPr="00C36958">
        <w:rPr>
          <w:rFonts w:asciiTheme="majorHAnsi" w:hAnsiTheme="majorHAnsi"/>
          <w:lang w:eastAsia="de-DE"/>
        </w:rPr>
        <w:t>Media release</w:t>
      </w:r>
    </w:p>
    <w:p w:rsidRPr="005C25D0" w:rsidR="00C36958" w:rsidP="00C36958" w:rsidRDefault="002E2C06" w14:paraId="38409B03" w14:textId="5EA58692">
      <w:pPr>
        <w:rPr>
          <w:lang w:eastAsia="de-DE"/>
        </w:rPr>
      </w:pPr>
      <w:r w:rsidRPr="005C25D0">
        <w:rPr>
          <w:lang w:eastAsia="de-DE"/>
        </w:rPr>
        <w:t>June, 3, 2025</w:t>
      </w:r>
      <w:r w:rsidRPr="005C25D0" w:rsidR="00C36958">
        <w:rPr>
          <w:lang w:eastAsia="de-DE"/>
        </w:rPr>
        <w:t>, Sensirion Holding AG, 8712 Stäfa, Switzerland</w:t>
      </w:r>
    </w:p>
    <w:p w:rsidRPr="005C25D0" w:rsidR="00C36958" w:rsidP="00C36958" w:rsidRDefault="00C36958" w14:paraId="6A89EA3A" w14:textId="77777777">
      <w:pPr>
        <w:pBdr>
          <w:bottom w:val="single" w:color="auto" w:sz="6" w:space="1"/>
        </w:pBdr>
        <w:rPr>
          <w:lang w:eastAsia="de-DE"/>
        </w:rPr>
      </w:pPr>
    </w:p>
    <w:p w:rsidRPr="005C25D0" w:rsidR="005B1B49" w:rsidP="005B1B49" w:rsidRDefault="005B1B49" w14:paraId="47EB95FA" w14:textId="77777777">
      <w:pPr>
        <w:rPr>
          <w:lang w:eastAsia="de-DE"/>
        </w:rPr>
      </w:pPr>
    </w:p>
    <w:p w:rsidRPr="00713BD3" w:rsidR="00783F5F" w:rsidP="00783F5F" w:rsidRDefault="00783F5F" w14:paraId="5B417381" w14:textId="77777777">
      <w:pPr>
        <w:rPr>
          <w:rFonts w:asciiTheme="majorHAnsi" w:hAnsiTheme="majorHAnsi"/>
          <w:sz w:val="28"/>
          <w:lang w:eastAsia="de-DE"/>
        </w:rPr>
      </w:pPr>
      <w:r w:rsidRPr="00867443">
        <w:rPr>
          <w:rFonts w:asciiTheme="majorHAnsi" w:hAnsiTheme="majorHAnsi"/>
          <w:sz w:val="28"/>
          <w:lang w:eastAsia="de-DE"/>
        </w:rPr>
        <w:t xml:space="preserve">Sensirion </w:t>
      </w:r>
      <w:r>
        <w:rPr>
          <w:rFonts w:asciiTheme="majorHAnsi" w:hAnsiTheme="majorHAnsi"/>
          <w:sz w:val="28"/>
          <w:lang w:eastAsia="de-DE"/>
        </w:rPr>
        <w:t>Connected Solutions a</w:t>
      </w:r>
      <w:r w:rsidRPr="00867443">
        <w:rPr>
          <w:rFonts w:asciiTheme="majorHAnsi" w:hAnsiTheme="majorHAnsi"/>
          <w:sz w:val="28"/>
          <w:lang w:eastAsia="de-DE"/>
        </w:rPr>
        <w:t xml:space="preserve">cquires Kuva Systems to </w:t>
      </w:r>
      <w:r>
        <w:rPr>
          <w:rFonts w:asciiTheme="majorHAnsi" w:hAnsiTheme="majorHAnsi"/>
          <w:sz w:val="28"/>
          <w:lang w:eastAsia="de-DE"/>
        </w:rPr>
        <w:t>expand</w:t>
      </w:r>
      <w:r w:rsidRPr="00867443">
        <w:rPr>
          <w:rFonts w:asciiTheme="majorHAnsi" w:hAnsiTheme="majorHAnsi"/>
          <w:sz w:val="28"/>
          <w:lang w:eastAsia="de-DE"/>
        </w:rPr>
        <w:t xml:space="preserve"> </w:t>
      </w:r>
      <w:r>
        <w:rPr>
          <w:rFonts w:asciiTheme="majorHAnsi" w:hAnsiTheme="majorHAnsi"/>
          <w:sz w:val="28"/>
          <w:lang w:eastAsia="de-DE"/>
        </w:rPr>
        <w:t>m</w:t>
      </w:r>
      <w:r w:rsidRPr="00867443">
        <w:rPr>
          <w:rFonts w:asciiTheme="majorHAnsi" w:hAnsiTheme="majorHAnsi"/>
          <w:sz w:val="28"/>
          <w:lang w:eastAsia="de-DE"/>
        </w:rPr>
        <w:t xml:space="preserve">ethane </w:t>
      </w:r>
      <w:r>
        <w:rPr>
          <w:rFonts w:asciiTheme="majorHAnsi" w:hAnsiTheme="majorHAnsi"/>
          <w:sz w:val="28"/>
          <w:lang w:eastAsia="de-DE"/>
        </w:rPr>
        <w:t>e</w:t>
      </w:r>
      <w:r w:rsidRPr="00867443">
        <w:rPr>
          <w:rFonts w:asciiTheme="majorHAnsi" w:hAnsiTheme="majorHAnsi"/>
          <w:sz w:val="28"/>
          <w:lang w:eastAsia="de-DE"/>
        </w:rPr>
        <w:t xml:space="preserve">missions </w:t>
      </w:r>
      <w:r>
        <w:rPr>
          <w:rFonts w:asciiTheme="majorHAnsi" w:hAnsiTheme="majorHAnsi"/>
          <w:sz w:val="28"/>
          <w:lang w:eastAsia="de-DE"/>
        </w:rPr>
        <w:t>m</w:t>
      </w:r>
      <w:r w:rsidRPr="00867443">
        <w:rPr>
          <w:rFonts w:asciiTheme="majorHAnsi" w:hAnsiTheme="majorHAnsi"/>
          <w:sz w:val="28"/>
          <w:lang w:eastAsia="de-DE"/>
        </w:rPr>
        <w:t xml:space="preserve">onitoring </w:t>
      </w:r>
      <w:r>
        <w:rPr>
          <w:rFonts w:asciiTheme="majorHAnsi" w:hAnsiTheme="majorHAnsi"/>
          <w:sz w:val="28"/>
          <w:lang w:eastAsia="de-DE"/>
        </w:rPr>
        <w:t>p</w:t>
      </w:r>
      <w:r w:rsidRPr="00867443">
        <w:rPr>
          <w:rFonts w:asciiTheme="majorHAnsi" w:hAnsiTheme="majorHAnsi"/>
          <w:sz w:val="28"/>
          <w:lang w:eastAsia="de-DE"/>
        </w:rPr>
        <w:t>ortfolio</w:t>
      </w:r>
    </w:p>
    <w:p w:rsidR="00783F5F" w:rsidP="00783F5F" w:rsidRDefault="00783F5F" w14:paraId="78F8F8D9" w14:textId="77777777">
      <w:pPr>
        <w:rPr>
          <w:lang w:eastAsia="de-DE"/>
        </w:rPr>
      </w:pPr>
    </w:p>
    <w:p w:rsidR="00783F5F" w:rsidP="00783F5F" w:rsidRDefault="00783F5F" w14:paraId="026F86A3" w14:textId="77777777">
      <w:pPr>
        <w:pStyle w:val="SensirionSubtitle"/>
      </w:pPr>
      <w:r w:rsidRPr="00867443">
        <w:t xml:space="preserve">Sensirion </w:t>
      </w:r>
      <w:r>
        <w:t>Connected Solutions</w:t>
      </w:r>
      <w:r w:rsidRPr="00867443">
        <w:t xml:space="preserve">, a </w:t>
      </w:r>
      <w:r>
        <w:t xml:space="preserve">subsidiary of Sensirion Holding AG </w:t>
      </w:r>
      <w:r w:rsidRPr="00A2777C">
        <w:t>specializ</w:t>
      </w:r>
      <w:r>
        <w:t>ing</w:t>
      </w:r>
      <w:r w:rsidRPr="00A2777C">
        <w:t xml:space="preserve"> in sensor-based IoT</w:t>
      </w:r>
      <w:r>
        <w:t xml:space="preserve"> </w:t>
      </w:r>
      <w:r w:rsidRPr="00A2777C">
        <w:t>solutions and services for emission</w:t>
      </w:r>
      <w:r>
        <w:t>s</w:t>
      </w:r>
      <w:r w:rsidRPr="00A2777C">
        <w:t xml:space="preserve"> monitorin</w:t>
      </w:r>
      <w:r>
        <w:t>g</w:t>
      </w:r>
      <w:r w:rsidRPr="00867443">
        <w:t>, announce</w:t>
      </w:r>
      <w:r>
        <w:t>d</w:t>
      </w:r>
      <w:r w:rsidRPr="00867443">
        <w:t xml:space="preserve"> the acquisition of </w:t>
      </w:r>
      <w:r>
        <w:t>Kuva Systems, a Cambridge</w:t>
      </w:r>
      <w:r w:rsidRPr="00867443">
        <w:t>-based innovator in image-based methane emission</w:t>
      </w:r>
      <w:r>
        <w:t>s</w:t>
      </w:r>
      <w:r w:rsidRPr="00867443">
        <w:t xml:space="preserve"> monitoring. The company will be integrated into Sensirion Connected Solutions, strengthening its position as a full-spectrum provider for </w:t>
      </w:r>
      <w:r>
        <w:t xml:space="preserve">continuous </w:t>
      </w:r>
      <w:r w:rsidRPr="00867443">
        <w:t xml:space="preserve">methane emissions monitoring in </w:t>
      </w:r>
      <w:r>
        <w:t>oil and gas</w:t>
      </w:r>
      <w:r w:rsidRPr="00867443">
        <w:t xml:space="preserve"> applications.</w:t>
      </w:r>
    </w:p>
    <w:p w:rsidR="00783F5F" w:rsidP="00783F5F" w:rsidRDefault="00783F5F" w14:paraId="0B8CBA9D" w14:textId="77777777">
      <w:pPr>
        <w:pStyle w:val="SensirionSubtitle"/>
      </w:pPr>
    </w:p>
    <w:p w:rsidR="00783F5F" w:rsidP="00783F5F" w:rsidRDefault="00783F5F" w14:paraId="30DFD0A3" w14:textId="77777777">
      <w:r>
        <w:t>Kuva Systems brings to Sensirion a sophisticated industrial IoT product tailored for upstream and midstream oil and gas operations. Its technology includes a proprietary, low-cost infrared optical camera that delivers minute-by-minute visualization and quantification of methane emissions. This capability allows operators to pinpoint leak sources without false positive alarms and to cost-effectively conduct remote root-cause analysis of emission problems. The Kuva solution enables operators to implement automated workflows for root-cause analysis that minimize emissions as well as meet regulatory and ESG goals.</w:t>
      </w:r>
    </w:p>
    <w:p w:rsidR="00783F5F" w:rsidP="00783F5F" w:rsidRDefault="00783F5F" w14:paraId="1553BF25" w14:textId="77777777"/>
    <w:p w:rsidR="00783F5F" w:rsidP="00783F5F" w:rsidRDefault="00783F5F" w14:paraId="48D8B30A" w14:textId="77777777">
      <w:r w:rsidRPr="007631CD">
        <w:t xml:space="preserve">The integration of Kuva Systems into Sensirion Connected Solutions reflects a strong strategic fit, aligned with the Group’s long-term vision to expand its industrial IoT capabilities in emissions monitoring. </w:t>
      </w:r>
      <w:r w:rsidRPr="0024282D">
        <w:t>From a financial perspective, the transaction is not significant and will not have a material impact on the Group’s liquidity or financial guidance in terms of stock exchange reporting obligations.</w:t>
      </w:r>
    </w:p>
    <w:p w:rsidR="00783F5F" w:rsidP="00783F5F" w:rsidRDefault="00783F5F" w14:paraId="3C59587E" w14:textId="77777777"/>
    <w:p w:rsidRPr="003E6A07" w:rsidR="00783F5F" w:rsidP="00783F5F" w:rsidRDefault="00783F5F" w14:paraId="4AA4B170" w14:textId="77777777">
      <w:pPr>
        <w:pStyle w:val="SensirionSubtitle"/>
      </w:pPr>
      <w:r w:rsidRPr="003E6A07">
        <w:t>One-stop</w:t>
      </w:r>
      <w:r>
        <w:t xml:space="preserve"> </w:t>
      </w:r>
      <w:r w:rsidRPr="003E6A07">
        <w:t>shop for continuous methane emissions monitoring</w:t>
      </w:r>
    </w:p>
    <w:p w:rsidR="00783F5F" w:rsidP="00783F5F" w:rsidRDefault="00783F5F" w14:paraId="2B380376" w14:textId="157D5747">
      <w:r>
        <w:t>With the acquisition of Kuva Systems, Sensirion Connected Solutions now becomes a one-stop shop for continuous methane emissions monitoring—empowering oil and gas operators with a fully integrated, scalable suite of solutions tailored to the complexity of their sites.</w:t>
      </w:r>
    </w:p>
    <w:p w:rsidR="00783F5F" w:rsidP="00783F5F" w:rsidRDefault="00783F5F" w14:paraId="1EE97D51" w14:textId="77777777"/>
    <w:p w:rsidR="00783F5F" w:rsidP="00783F5F" w:rsidRDefault="00783F5F" w14:paraId="7E794FC8" w14:textId="77777777">
      <w:r>
        <w:t>From fence line monitoring with Nubo Sphere, to close-proximity sensing with Nubo Sentry, and now to image-based root-cause analysis using Kuva’s low-cost optical gas imaging solution, operators can select the right technology—or a combination—to match their specific needs. Whether addressing site-level emissions quantification, priority area monitoring or pinpointing individual leaks for simplified remote root-cause analysis, all solutions provide actionable insights through highly reliable, yet cost-efficient continuous monitoring solutions.</w:t>
      </w:r>
    </w:p>
    <w:p w:rsidR="00783F5F" w:rsidP="00783F5F" w:rsidRDefault="00783F5F" w14:paraId="0EF6B72D" w14:textId="77777777"/>
    <w:p w:rsidR="00783F5F" w:rsidP="00783F5F" w:rsidRDefault="00783F5F" w14:paraId="29DDF538" w14:textId="0DFAC058">
      <w:r>
        <w:t>This comprehensive offering is built for flexibility, designed for scale and backed by Sensirion’s trusted expertise—enabling the oil and gas industry to seamlessly enhance operational performance, achieve ESG goals and meet regulatory requirements</w:t>
      </w:r>
      <w:r w:rsidDel="00475075">
        <w:t xml:space="preserve"> </w:t>
      </w:r>
      <w:r>
        <w:t xml:space="preserve">across the entire oil and gas value chain. </w:t>
      </w:r>
    </w:p>
    <w:p w:rsidR="00783F5F" w:rsidP="00783F5F" w:rsidRDefault="00783F5F" w14:paraId="43151DD7" w14:textId="77777777"/>
    <w:p w:rsidR="00783F5F" w:rsidP="00783F5F" w:rsidRDefault="00783F5F" w14:paraId="1C26994C" w14:textId="77777777">
      <w:r>
        <w:t>“</w:t>
      </w:r>
      <w:r w:rsidRPr="003E6A07">
        <w:rPr>
          <w:i/>
          <w:iCs/>
        </w:rPr>
        <w:t xml:space="preserve">The integration of Kuva Systems into Sensirion Connected Solutions is a major milestone in our strategy to deliver a full </w:t>
      </w:r>
      <w:r>
        <w:rPr>
          <w:i/>
          <w:iCs/>
        </w:rPr>
        <w:t>range of</w:t>
      </w:r>
      <w:r w:rsidRPr="003E6A07">
        <w:rPr>
          <w:i/>
          <w:iCs/>
        </w:rPr>
        <w:t xml:space="preserve"> end-to-end solution</w:t>
      </w:r>
      <w:r>
        <w:rPr>
          <w:i/>
          <w:iCs/>
        </w:rPr>
        <w:t>s</w:t>
      </w:r>
      <w:r w:rsidRPr="003E6A07">
        <w:rPr>
          <w:i/>
          <w:iCs/>
        </w:rPr>
        <w:t xml:space="preserve"> for continuous methane emissions monitoring,</w:t>
      </w:r>
      <w:r>
        <w:t>” said Felix Hoehne, General Manager of Sensirion Connected Solutions. “</w:t>
      </w:r>
      <w:r w:rsidRPr="003E6A07">
        <w:rPr>
          <w:i/>
          <w:iCs/>
        </w:rPr>
        <w:t xml:space="preserve">By </w:t>
      </w:r>
      <w:r>
        <w:rPr>
          <w:i/>
          <w:iCs/>
        </w:rPr>
        <w:t>offering</w:t>
      </w:r>
      <w:r w:rsidRPr="003E6A07">
        <w:rPr>
          <w:i/>
          <w:iCs/>
        </w:rPr>
        <w:t xml:space="preserve"> </w:t>
      </w:r>
      <w:r>
        <w:rPr>
          <w:i/>
          <w:iCs/>
        </w:rPr>
        <w:t>innovative, sensor-based solutions</w:t>
      </w:r>
      <w:r w:rsidRPr="003E6A07">
        <w:rPr>
          <w:i/>
          <w:iCs/>
        </w:rPr>
        <w:t xml:space="preserve">, and now advanced optical imaging, we’re enabling oil and gas operators to </w:t>
      </w:r>
      <w:r>
        <w:rPr>
          <w:i/>
          <w:iCs/>
        </w:rPr>
        <w:t xml:space="preserve">maximize performance and coverage by </w:t>
      </w:r>
      <w:r w:rsidRPr="003E6A07">
        <w:rPr>
          <w:i/>
          <w:iCs/>
        </w:rPr>
        <w:t>choos</w:t>
      </w:r>
      <w:r>
        <w:rPr>
          <w:i/>
          <w:iCs/>
        </w:rPr>
        <w:t>ing</w:t>
      </w:r>
      <w:r w:rsidRPr="003E6A07">
        <w:rPr>
          <w:i/>
          <w:iCs/>
        </w:rPr>
        <w:t xml:space="preserve"> the right solution for their site complexity and monitoring needs—all from </w:t>
      </w:r>
      <w:r>
        <w:rPr>
          <w:i/>
          <w:iCs/>
        </w:rPr>
        <w:t>one, globally operating</w:t>
      </w:r>
      <w:r w:rsidRPr="003E6A07">
        <w:rPr>
          <w:i/>
          <w:iCs/>
        </w:rPr>
        <w:t>, trusted partner.</w:t>
      </w:r>
      <w:r>
        <w:t>”</w:t>
      </w:r>
    </w:p>
    <w:p w:rsidR="00783F5F" w:rsidP="00783F5F" w:rsidRDefault="00783F5F" w14:paraId="0FD3CA6F" w14:textId="77777777"/>
    <w:p w:rsidRPr="00867443" w:rsidR="00783F5F" w:rsidP="00783F5F" w:rsidRDefault="00783F5F" w14:paraId="4B09C549" w14:textId="77777777">
      <w:pPr>
        <w:pStyle w:val="SensirionSubtitle"/>
      </w:pPr>
      <w:r w:rsidRPr="00867443">
        <w:t>Accelerating a shared mission</w:t>
      </w:r>
    </w:p>
    <w:p w:rsidRPr="006F574E" w:rsidR="00783F5F" w:rsidP="00783F5F" w:rsidRDefault="00783F5F" w14:paraId="50E26DDD" w14:textId="77777777">
      <w:r>
        <w:t>Kuva Systems was founded with a mission to transform how methane leaks are detected, quantified, analyzed and mitigated in the oil and gas industry. The company’s platform supports operators in meeting ESG commitments, mitigating safety risks and maintaining regulatory compliance in a cost-effective way.</w:t>
      </w:r>
      <w:r w:rsidRPr="006F574E">
        <w:rPr>
          <w:rFonts w:ascii="Arial" w:hAnsi="Arial" w:cstheme="minorBidi"/>
          <w:szCs w:val="21"/>
        </w:rPr>
        <w:t xml:space="preserve"> </w:t>
      </w:r>
    </w:p>
    <w:p w:rsidR="00783F5F" w:rsidP="00783F5F" w:rsidRDefault="00783F5F" w14:paraId="199DAA27" w14:textId="77777777"/>
    <w:p w:rsidR="00783F5F" w:rsidP="00783F5F" w:rsidRDefault="00783F5F" w14:paraId="50955F1A" w14:textId="77777777">
      <w:r>
        <w:t>“</w:t>
      </w:r>
      <w:r w:rsidRPr="00867443">
        <w:rPr>
          <w:i/>
          <w:iCs/>
        </w:rPr>
        <w:t xml:space="preserve">We’re excited to join the Sensirion Group </w:t>
      </w:r>
      <w:r>
        <w:rPr>
          <w:i/>
          <w:iCs/>
        </w:rPr>
        <w:t>to</w:t>
      </w:r>
      <w:r w:rsidRPr="00867443">
        <w:rPr>
          <w:i/>
          <w:iCs/>
        </w:rPr>
        <w:t xml:space="preserve"> accelerate our mission with the backing of a global sensing technology leader,</w:t>
      </w:r>
      <w:r>
        <w:t>” said Stefan Bokaemper, CEO of Kuva Systems. “</w:t>
      </w:r>
      <w:r w:rsidRPr="00867443">
        <w:rPr>
          <w:i/>
          <w:iCs/>
        </w:rPr>
        <w:t xml:space="preserve">This move enables us to scale our solution and reach more operators who are looking for </w:t>
      </w:r>
      <w:r>
        <w:rPr>
          <w:i/>
          <w:iCs/>
        </w:rPr>
        <w:t xml:space="preserve">cost-effective operational workflows </w:t>
      </w:r>
      <w:r w:rsidRPr="00867443">
        <w:rPr>
          <w:i/>
          <w:iCs/>
        </w:rPr>
        <w:t>to tackle their emissions challenges.</w:t>
      </w:r>
      <w:r>
        <w:t>”</w:t>
      </w:r>
    </w:p>
    <w:p w:rsidR="00783F5F" w:rsidP="00783F5F" w:rsidRDefault="00783F5F" w14:paraId="0D6E467C" w14:textId="77777777"/>
    <w:p w:rsidR="00783F5F" w:rsidP="00783F5F" w:rsidRDefault="00783F5F" w14:paraId="5A92B4F3" w14:textId="77777777">
      <w:r>
        <w:t>Here you can find more information:</w:t>
      </w:r>
    </w:p>
    <w:p w:rsidR="00783F5F" w:rsidP="00783F5F" w:rsidRDefault="00783F5F" w14:paraId="4934A711" w14:textId="77777777">
      <w:r>
        <w:t xml:space="preserve">Sensirion Connected Solutions: </w:t>
      </w:r>
      <w:hyperlink w:history="1" r:id="rId11">
        <w:r w:rsidRPr="00B12B90">
          <w:rPr>
            <w:rStyle w:val="Hyperlink"/>
          </w:rPr>
          <w:t>www.sensirion-connected.com</w:t>
        </w:r>
      </w:hyperlink>
      <w:r>
        <w:t xml:space="preserve"> </w:t>
      </w:r>
    </w:p>
    <w:p w:rsidRPr="00A92E20" w:rsidR="00783F5F" w:rsidP="00783F5F" w:rsidRDefault="00783F5F" w14:paraId="03FA1A63" w14:textId="77777777">
      <w:r>
        <w:t xml:space="preserve">Kuva Systems: </w:t>
      </w:r>
      <w:hyperlink w:history="1" r:id="rId12">
        <w:r w:rsidRPr="00B12B90">
          <w:rPr>
            <w:rStyle w:val="Hyperlink"/>
          </w:rPr>
          <w:t>www.kuvasystems.com</w:t>
        </w:r>
      </w:hyperlink>
      <w:r>
        <w:t xml:space="preserve"> </w:t>
      </w:r>
    </w:p>
    <w:p w:rsidRPr="00C36958" w:rsidR="005B1B49" w:rsidP="005B1B49" w:rsidRDefault="005B1B49" w14:paraId="6F185BA5" w14:textId="77777777">
      <w:pPr>
        <w:pBdr>
          <w:bottom w:val="single" w:color="auto" w:sz="6" w:space="1"/>
        </w:pBdr>
        <w:rPr>
          <w:lang w:eastAsia="de-DE"/>
        </w:rPr>
      </w:pPr>
    </w:p>
    <w:p w:rsidRPr="00C36958" w:rsidR="00ED1987" w:rsidP="005B1B49" w:rsidRDefault="00ED1987" w14:paraId="1480C6C0" w14:textId="77777777">
      <w:pPr>
        <w:pBdr>
          <w:bottom w:val="single" w:color="auto" w:sz="6" w:space="1"/>
        </w:pBdr>
        <w:rPr>
          <w:lang w:eastAsia="de-DE"/>
        </w:rPr>
      </w:pPr>
    </w:p>
    <w:p w:rsidRPr="00C36958" w:rsidR="005B1B49" w:rsidP="005B1B49" w:rsidRDefault="005B1B49" w14:paraId="2B556654" w14:textId="77777777">
      <w:pPr>
        <w:rPr>
          <w:lang w:eastAsia="de-DE"/>
        </w:rPr>
      </w:pPr>
    </w:p>
    <w:p w:rsidRPr="00C36958" w:rsidR="00C36958" w:rsidP="00C36958" w:rsidRDefault="00C36958" w14:paraId="06436F4C" w14:textId="77777777">
      <w:pPr>
        <w:rPr>
          <w:rFonts w:asciiTheme="majorHAnsi" w:hAnsiTheme="majorHAnsi"/>
          <w:lang w:eastAsia="de-DE"/>
        </w:rPr>
      </w:pPr>
      <w:r w:rsidRPr="00C36958">
        <w:rPr>
          <w:rFonts w:asciiTheme="majorHAnsi" w:hAnsiTheme="majorHAnsi"/>
          <w:lang w:eastAsia="de-DE"/>
        </w:rPr>
        <w:t>About Sensirion Holding AG</w:t>
      </w:r>
    </w:p>
    <w:p w:rsidRPr="00C36958" w:rsidR="00C36958" w:rsidP="00C36958" w:rsidRDefault="00C36958" w14:paraId="641174B9" w14:textId="77777777">
      <w:pPr>
        <w:rPr>
          <w:lang w:eastAsia="de-DE"/>
        </w:rPr>
      </w:pPr>
      <w:r w:rsidRPr="00C36958">
        <w:rPr>
          <w:lang w:eastAsia="de-DE"/>
        </w:rPr>
        <w:t xml:space="preserve">Sensirion Holding AG (SIX Swiss Exchange: SENS), headquartered in Stäfa, Switzerland, is a leading manufacturer of digital microsensors and systems. The product range includes environmental sensors for the measurement of humidity and temperature, volatile organic compounds (VOC), carbon dioxide (CO2) and particulate matter (PM2.5), gas and liquid flow sensors, differential pressure sensors as well as gas leakage sensors. </w:t>
      </w:r>
    </w:p>
    <w:p w:rsidR="00C36958" w:rsidP="00C36958" w:rsidRDefault="00C36958" w14:paraId="0CB7CD4E" w14:textId="77777777">
      <w:pPr>
        <w:rPr>
          <w:lang w:eastAsia="de-DE"/>
        </w:rPr>
      </w:pPr>
      <w:r w:rsidRPr="00C36958">
        <w:rPr>
          <w:lang w:eastAsia="de-DE"/>
        </w:rPr>
        <w:t xml:space="preserve">An international network with sales offices in China, Europe, Japan, South Korea, Taiwan and the USA supplies international customers with standard and custom sensor system solutions for a vast range of applications. Sensirion sensors can commonly be found in the automotive, medical, industrial and consumer end markets. For further information, visit </w:t>
      </w:r>
      <w:hyperlink w:history="1" r:id="rId13">
        <w:r w:rsidRPr="006B2015">
          <w:rPr>
            <w:rStyle w:val="Hyperlink"/>
            <w:lang w:eastAsia="de-DE"/>
          </w:rPr>
          <w:t>www.sensirion.com</w:t>
        </w:r>
      </w:hyperlink>
      <w:r w:rsidRPr="00C36958">
        <w:rPr>
          <w:lang w:eastAsia="de-DE"/>
        </w:rPr>
        <w:t>.</w:t>
      </w:r>
      <w:r>
        <w:rPr>
          <w:lang w:eastAsia="de-DE"/>
        </w:rPr>
        <w:t xml:space="preserve"> </w:t>
      </w:r>
    </w:p>
    <w:p w:rsidR="001E48EB" w:rsidP="00C36958" w:rsidRDefault="001E48EB" w14:paraId="1E1D277A" w14:textId="77777777">
      <w:pPr>
        <w:rPr>
          <w:lang w:eastAsia="de-DE"/>
        </w:rPr>
      </w:pPr>
    </w:p>
    <w:p w:rsidRPr="00532C52" w:rsidR="001E48EB" w:rsidP="001E48EB" w:rsidRDefault="001E48EB" w14:paraId="5801627D" w14:textId="77777777">
      <w:pPr>
        <w:pStyle w:val="SensirionSubtitle"/>
      </w:pPr>
      <w:r w:rsidRPr="00532C52">
        <w:t>About Sensirion Connected Solutions</w:t>
      </w:r>
    </w:p>
    <w:p w:rsidRPr="00634E1B" w:rsidR="001E48EB" w:rsidP="001E48EB" w:rsidRDefault="001E48EB" w14:paraId="482C43B4" w14:textId="77777777">
      <w:pPr>
        <w:pStyle w:val="paragraph"/>
        <w:spacing w:before="0" w:beforeAutospacing="0" w:after="0" w:afterAutospacing="0"/>
        <w:textAlignment w:val="baseline"/>
        <w:rPr>
          <w:rFonts w:ascii="Segoe UI" w:hAnsi="Segoe UI" w:cs="Segoe UI"/>
          <w:sz w:val="18"/>
          <w:szCs w:val="18"/>
          <w:lang w:val="en-US"/>
        </w:rPr>
      </w:pPr>
      <w:r>
        <w:rPr>
          <w:rStyle w:val="normaltextrun"/>
          <w:rFonts w:ascii="Segoe UI" w:hAnsi="Segoe UI" w:cs="Segoe UI"/>
          <w:sz w:val="20"/>
          <w:szCs w:val="20"/>
          <w:lang w:val="en-US"/>
        </w:rPr>
        <w:t xml:space="preserve">Sensirion Connected Solutions specializes in sensor-based IoT-solutions and services for emissions monitoring in the energy sector. By integrating proprietary sensor technology, advanced data analytics and an intuitive user interface, Sensirion Connected Solutions provides the transparency and actionable insights needed to reduce emissions. The company aims to help oil and gas operators comply with regulations, meet their ESG goals, improve safety and enhance operational efficiency. </w:t>
      </w:r>
      <w:r>
        <w:rPr>
          <w:rStyle w:val="normaltextrun"/>
          <w:rFonts w:ascii="Segoe UI" w:hAnsi="Segoe UI" w:cs="Segoe UI"/>
          <w:color w:val="0D0D0D"/>
          <w:sz w:val="20"/>
          <w:szCs w:val="20"/>
          <w:lang w:val="en-US"/>
        </w:rPr>
        <w:t>Headquartered in Stäfa, Switzerland, and Chicago, Illinois, USA, Sensirion Connected Solutions is part of Sensirion Holding, a leading global manufacturer of high-performance digital microsensors for environmental and flow sensing applications.</w:t>
      </w:r>
    </w:p>
    <w:p w:rsidR="001E48EB" w:rsidP="001E48EB" w:rsidRDefault="001E48EB" w14:paraId="652E389D" w14:textId="77777777">
      <w:pPr>
        <w:rPr>
          <w:lang w:eastAsia="de-DE"/>
        </w:rPr>
      </w:pPr>
    </w:p>
    <w:p w:rsidRPr="00867443" w:rsidR="001E48EB" w:rsidP="001E48EB" w:rsidRDefault="001E48EB" w14:paraId="393ED247" w14:textId="77777777">
      <w:pPr>
        <w:pStyle w:val="SensirionSubtitle"/>
      </w:pPr>
      <w:r w:rsidRPr="00867443">
        <w:t>About Kuva Systems</w:t>
      </w:r>
    </w:p>
    <w:p w:rsidR="001E48EB" w:rsidP="00C36958" w:rsidRDefault="001E48EB" w14:paraId="54799978" w14:textId="4EF282A4">
      <w:pPr>
        <w:rPr>
          <w:lang w:eastAsia="de-DE"/>
        </w:rPr>
      </w:pPr>
      <w:r w:rsidRPr="005636D3">
        <w:rPr>
          <w:lang w:eastAsia="de-DE"/>
        </w:rPr>
        <w:t>Kuva Systems provides cost-effective workflow automation solutions that enable oil and gas operators to improve the operational efficiency of methane mitigation, emissions accounting and regulatory compliance. Kuva’s solution is based on its proprietary, low-cost continuous monitoring infrared camera for methane and volatile organic compounds (VOCs) and its cloud platform. With a commitment to innovation, Kuva is shaping the future of industrial workflow automation.</w:t>
      </w:r>
    </w:p>
    <w:p w:rsidRPr="00C36958" w:rsidR="00134C94" w:rsidP="00C36958" w:rsidRDefault="00134C94" w14:paraId="627210A9" w14:textId="77777777">
      <w:pPr>
        <w:rPr>
          <w:lang w:eastAsia="de-DE"/>
        </w:rPr>
      </w:pPr>
    </w:p>
    <w:p w:rsidRPr="00C36958" w:rsidR="00C36958" w:rsidP="00C36958" w:rsidRDefault="00C36958" w14:paraId="024BD2A0" w14:textId="77777777">
      <w:pPr>
        <w:rPr>
          <w:rFonts w:asciiTheme="majorHAnsi" w:hAnsiTheme="majorHAnsi"/>
          <w:lang w:eastAsia="de-DE"/>
        </w:rPr>
      </w:pPr>
    </w:p>
    <w:p w:rsidRPr="00C36958" w:rsidR="00C36958" w:rsidP="00C36958" w:rsidRDefault="00C36958" w14:paraId="31DBFAD3" w14:textId="77777777">
      <w:pPr>
        <w:pStyle w:val="SensirionSubtitle"/>
      </w:pPr>
      <w:r w:rsidRPr="00C36958">
        <w:t>Disclaimer</w:t>
      </w:r>
    </w:p>
    <w:p w:rsidRPr="00C36958" w:rsidR="00C36958" w:rsidP="00C36958" w:rsidRDefault="00C36958" w14:paraId="5F323B0F" w14:textId="77777777">
      <w:pPr>
        <w:rPr>
          <w:rFonts w:cstheme="minorHAnsi"/>
          <w:sz w:val="18"/>
          <w:szCs w:val="18"/>
          <w:lang w:eastAsia="de-DE"/>
        </w:rPr>
      </w:pPr>
      <w:r w:rsidRPr="00C36958">
        <w:rPr>
          <w:rFonts w:cstheme="minorHAnsi"/>
          <w:sz w:val="18"/>
          <w:szCs w:val="18"/>
          <w:lang w:eastAsia="de-DE"/>
        </w:rPr>
        <w:t>Certain statements in this document are forward-looking statements, including, but not limited to, those using words such as “believe”, “assume”, “expect” and other similar expressions. Such forward-looking statements are based on assumptions and expectations and, by their nature, involve known and unknown risks, uncertainties and other factors that could cause actual results, performance or achievements to differ materially from those expressed or implied by the forward-looking statements. Such factors include, but are not limited to, future global economic conditions, changing market conditions, competition from other companies, the effects and risks of new technologies, the costs of complying with applicable laws, regulations and standards, diverse political, legal, economic and other conditions affecting the markets in which Sensirion operates and other factors beyond the control of Sensirion. In view of these uncertainties, you should not place undue reliance on forward-looking statements. Sensirion disclaims any intention or obligation to update any forward-looking statements or to adapt them to future events or developments.</w:t>
      </w:r>
    </w:p>
    <w:p w:rsidRPr="00C36958" w:rsidR="00C36958" w:rsidP="00C36958" w:rsidRDefault="00C36958" w14:paraId="25108717" w14:textId="77777777">
      <w:pPr>
        <w:rPr>
          <w:rFonts w:cstheme="minorHAnsi"/>
          <w:sz w:val="18"/>
          <w:szCs w:val="18"/>
          <w:lang w:eastAsia="de-DE"/>
        </w:rPr>
      </w:pPr>
    </w:p>
    <w:p w:rsidRPr="00C36958" w:rsidR="00C36958" w:rsidP="00C36958" w:rsidRDefault="00C36958" w14:paraId="061B52A1" w14:textId="77777777">
      <w:pPr>
        <w:rPr>
          <w:rFonts w:cstheme="minorHAnsi"/>
          <w:sz w:val="18"/>
          <w:szCs w:val="18"/>
          <w:lang w:eastAsia="de-DE"/>
        </w:rPr>
      </w:pPr>
      <w:r w:rsidRPr="00C36958">
        <w:rPr>
          <w:rFonts w:cstheme="minorHAnsi"/>
          <w:sz w:val="18"/>
          <w:szCs w:val="18"/>
          <w:lang w:eastAsia="de-DE"/>
        </w:rPr>
        <w:t xml:space="preserve">Sensirion uses certain key figures to measure its performance that are not defined by Swiss GAAP FER. These alternative performance measures may not be comparable to similarly titled measures presented by other companies. Additional information on these key figures can be found at </w:t>
      </w:r>
      <w:hyperlink w:history="1" r:id="rId14">
        <w:r w:rsidRPr="006B2015">
          <w:rPr>
            <w:rStyle w:val="Hyperlink"/>
            <w:rFonts w:cstheme="minorHAnsi"/>
            <w:sz w:val="18"/>
            <w:szCs w:val="18"/>
            <w:lang w:eastAsia="de-DE"/>
          </w:rPr>
          <w:t>www.sensirion.com/additional-performance-measures</w:t>
        </w:r>
      </w:hyperlink>
      <w:r w:rsidRPr="00C36958">
        <w:rPr>
          <w:rFonts w:cstheme="minorHAnsi"/>
          <w:sz w:val="18"/>
          <w:szCs w:val="18"/>
          <w:lang w:eastAsia="de-DE"/>
        </w:rPr>
        <w:t>.</w:t>
      </w:r>
      <w:r>
        <w:rPr>
          <w:rFonts w:cstheme="minorHAnsi"/>
          <w:sz w:val="18"/>
          <w:szCs w:val="18"/>
          <w:lang w:eastAsia="de-DE"/>
        </w:rPr>
        <w:t xml:space="preserve"> </w:t>
      </w:r>
    </w:p>
    <w:p w:rsidRPr="00C36958" w:rsidR="00C36958" w:rsidP="00C36958" w:rsidRDefault="00C36958" w14:paraId="613D92B9" w14:textId="77777777">
      <w:pPr>
        <w:rPr>
          <w:rFonts w:cstheme="minorHAnsi"/>
          <w:sz w:val="18"/>
          <w:szCs w:val="18"/>
          <w:lang w:eastAsia="de-DE"/>
        </w:rPr>
      </w:pPr>
    </w:p>
    <w:p w:rsidRPr="00C36958" w:rsidR="005B1B49" w:rsidP="00C36958" w:rsidRDefault="00C36958" w14:paraId="1232B1CE" w14:textId="77777777">
      <w:pPr>
        <w:rPr>
          <w:rFonts w:cstheme="minorHAnsi"/>
          <w:sz w:val="18"/>
          <w:szCs w:val="18"/>
          <w:lang w:eastAsia="de-DE"/>
        </w:rPr>
      </w:pPr>
      <w:r w:rsidRPr="00C36958">
        <w:rPr>
          <w:rFonts w:cstheme="minorHAnsi"/>
          <w:sz w:val="18"/>
          <w:szCs w:val="18"/>
          <w:lang w:eastAsia="de-DE"/>
        </w:rPr>
        <w:t>This document is not an offer to sell, or a solicitation of offers to purchase, any securities.</w:t>
      </w:r>
    </w:p>
    <w:p w:rsidRPr="00936C4F" w:rsidR="00986756" w:rsidP="00986756" w:rsidRDefault="00986756" w14:paraId="3DDBE335" w14:textId="77777777">
      <w:pPr>
        <w:rPr>
          <w:lang w:eastAsia="de-DE"/>
        </w:rPr>
      </w:pPr>
    </w:p>
    <w:sectPr w:rsidRPr="00936C4F" w:rsidR="00986756" w:rsidSect="00C5040D">
      <w:headerReference w:type="default" r:id="rId15"/>
      <w:footerReference w:type="default" r:id="rId16"/>
      <w:headerReference w:type="first" r:id="rId17"/>
      <w:footerReference w:type="first" r:id="rId18"/>
      <w:type w:val="continuous"/>
      <w:pgSz w:w="11906" w:h="16838" w:orient="portrait"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6638D" w:rsidP="0054380F" w:rsidRDefault="0086638D" w14:paraId="5A7EA9A7" w14:textId="77777777">
      <w:pPr>
        <w:spacing w:line="240" w:lineRule="auto"/>
      </w:pPr>
      <w:r>
        <w:separator/>
      </w:r>
    </w:p>
  </w:endnote>
  <w:endnote w:type="continuationSeparator" w:id="0">
    <w:p w:rsidR="0086638D" w:rsidP="0054380F" w:rsidRDefault="0086638D" w14:paraId="3E09E185"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72AC0" w:rsidR="00D44150" w:rsidP="000B2869" w:rsidRDefault="00D91EAB" w14:paraId="0C7C1243" w14:textId="77777777">
    <w:pPr>
      <w:pStyle w:val="Footer"/>
    </w:pPr>
    <w:r w:rsidRPr="00372AC0">
      <w:rPr>
        <w:noProof/>
      </w:rPr>
      <w:t>© Copyright Sensirion AG</w:t>
    </w:r>
    <w:r w:rsidRPr="00372AC0">
      <w:tab/>
    </w:r>
    <w:r w:rsidRPr="00372AC0" w:rsidR="00B730FE">
      <w:fldChar w:fldCharType="begin"/>
    </w:r>
    <w:r w:rsidRPr="00372AC0">
      <w:instrText xml:space="preserve"> PAGE </w:instrText>
    </w:r>
    <w:r w:rsidRPr="00372AC0" w:rsidR="00B730FE">
      <w:fldChar w:fldCharType="separate"/>
    </w:r>
    <w:r w:rsidRPr="00372AC0" w:rsidR="00A5624A">
      <w:t>1</w:t>
    </w:r>
    <w:r w:rsidRPr="00372AC0" w:rsidR="00B730FE">
      <w:fldChar w:fldCharType="end"/>
    </w:r>
    <w:r w:rsidRPr="00372AC0">
      <w:t>/</w:t>
    </w:r>
    <w:r w:rsidRPr="00372AC0" w:rsidR="00B730FE">
      <w:fldChar w:fldCharType="begin"/>
    </w:r>
    <w:r w:rsidRPr="00372AC0">
      <w:instrText xml:space="preserve"> NUMPAGES </w:instrText>
    </w:r>
    <w:r w:rsidRPr="00372AC0" w:rsidR="00B730FE">
      <w:fldChar w:fldCharType="separate"/>
    </w:r>
    <w:r w:rsidRPr="00372AC0" w:rsidR="00A5624A">
      <w:t>1</w:t>
    </w:r>
    <w:r w:rsidRPr="00372AC0" w:rsidR="00B730F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44150" w:rsidRDefault="00D44150" w14:paraId="35DCDA76" w14:textId="77777777">
    <w:pPr>
      <w:pStyle w:val="Footer"/>
    </w:pPr>
    <w:r w:rsidRPr="00E94DCD">
      <w:tab/>
    </w:r>
    <w:r w:rsidRPr="00E94DCD">
      <w:tab/>
    </w:r>
    <w:r w:rsidRPr="00E94DCD">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fldChar w:fldCharType="begin"/>
    </w:r>
    <w:r>
      <w:instrText> NUMPAGES   \* MERGEFORMAT </w:instrText>
    </w:r>
    <w:r>
      <w:fldChar w:fldCharType="separate"/>
    </w:r>
    <w:r w:rsidR="001156D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6638D" w:rsidP="0054380F" w:rsidRDefault="0086638D" w14:paraId="188E211A" w14:textId="77777777">
      <w:pPr>
        <w:spacing w:line="240" w:lineRule="auto"/>
      </w:pPr>
      <w:r>
        <w:separator/>
      </w:r>
    </w:p>
  </w:footnote>
  <w:footnote w:type="continuationSeparator" w:id="0">
    <w:p w:rsidR="0086638D" w:rsidP="0054380F" w:rsidRDefault="0086638D" w14:paraId="3D883BB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44150" w:rsidRDefault="00661641" w14:paraId="2342D4F6" w14:textId="77777777">
    <w:pPr>
      <w:pStyle w:val="Header"/>
    </w:pPr>
    <w:r>
      <w:rPr>
        <w:noProof/>
      </w:rPr>
      <w:drawing>
        <wp:anchor distT="0" distB="0" distL="0" distR="0" simplePos="0" relativeHeight="251658240" behindDoc="1" locked="1" layoutInCell="1" allowOverlap="1" wp14:anchorId="4E19CF73" wp14:editId="4F384685">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D44150" w:rsidRDefault="00EE0CB5" w14:paraId="264AF8F2" w14:textId="77777777">
    <w:pPr>
      <w:pStyle w:val="Header"/>
    </w:pPr>
    <w:r>
      <w:rPr>
        <w:noProof/>
      </w:rPr>
      <w:drawing>
        <wp:anchor distT="0" distB="0" distL="114300" distR="114300" simplePos="0" relativeHeight="251658241" behindDoc="1" locked="0" layoutInCell="1" allowOverlap="1" wp14:anchorId="3CF62AB1" wp14:editId="4AD0A1FD">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hint="default" w:ascii="Symbol" w:hAnsi="Symbol"/>
      </w:rPr>
    </w:lvl>
    <w:lvl w:ilvl="1">
      <w:start w:val="1"/>
      <w:numFmt w:val="bullet"/>
      <w:pStyle w:val="BulletpointsEbene2"/>
      <w:lvlText w:val=""/>
      <w:lvlJc w:val="left"/>
      <w:pPr>
        <w:tabs>
          <w:tab w:val="num" w:pos="907"/>
        </w:tabs>
        <w:ind w:left="907" w:hanging="453"/>
      </w:pPr>
      <w:rPr>
        <w:rFonts w:hint="default" w:ascii="Symbol" w:hAnsi="Symbol"/>
      </w:rPr>
    </w:lvl>
    <w:lvl w:ilvl="2">
      <w:start w:val="1"/>
      <w:numFmt w:val="bullet"/>
      <w:lvlText w:val=""/>
      <w:lvlJc w:val="left"/>
      <w:pPr>
        <w:tabs>
          <w:tab w:val="num" w:pos="1361"/>
        </w:tabs>
        <w:ind w:left="1361" w:hanging="454"/>
      </w:pPr>
      <w:rPr>
        <w:rFonts w:hint="default" w:ascii="Symbol" w:hAnsi="Symbol"/>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hint="default" w:ascii="Wingdings" w:hAnsi="Wingdings"/>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hint="default" w:ascii="Wingdings" w:hAnsi="Wingdings"/>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hint="default" w:ascii="Wingdings" w:hAnsi="Wingdings"/>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hint="default" w:ascii="Wingdings" w:hAnsi="Wingdings"/>
      </w:rPr>
    </w:lvl>
    <w:lvl w:ilvl="1">
      <w:start w:val="1"/>
      <w:numFmt w:val="bullet"/>
      <w:lvlText w:val=""/>
      <w:lvlJc w:val="left"/>
      <w:pPr>
        <w:tabs>
          <w:tab w:val="num" w:pos="680"/>
        </w:tabs>
        <w:ind w:left="680" w:hanging="226"/>
      </w:pPr>
      <w:rPr>
        <w:rFonts w:hint="default" w:ascii="Wingdings" w:hAnsi="Wingdings"/>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hint="default" w:ascii="Arial Narrow" w:hAnsi="Arial Narrow"/>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Wingdings" w:hAnsi="Wingdings"/>
      </w:rPr>
    </w:lvl>
    <w:lvl w:ilvl="4">
      <w:start w:val="1"/>
      <w:numFmt w:val="bullet"/>
      <w:lvlText w:val=""/>
      <w:lvlJc w:val="left"/>
      <w:pPr>
        <w:ind w:left="1800" w:hanging="360"/>
      </w:pPr>
      <w:rPr>
        <w:rFonts w:hint="default" w:ascii="Wingdings" w:hAnsi="Wingdings"/>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Wingdings" w:hAnsi="Wingdings"/>
      </w:rPr>
    </w:lvl>
    <w:lvl w:ilvl="8">
      <w:start w:val="1"/>
      <w:numFmt w:val="bullet"/>
      <w:lvlText w:val=""/>
      <w:lvlJc w:val="left"/>
      <w:pPr>
        <w:ind w:left="3240" w:hanging="360"/>
      </w:pPr>
      <w:rPr>
        <w:rFonts w:hint="default" w:ascii="Wingdings" w:hAnsi="Wingdings"/>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hint="default" w:ascii="Symbol" w:hAnsi="Symbol"/>
      </w:rPr>
    </w:lvl>
    <w:lvl w:ilvl="1">
      <w:start w:val="1"/>
      <w:numFmt w:val="bullet"/>
      <w:pStyle w:val="BulletpointsLevel2"/>
      <w:lvlText w:val=""/>
      <w:lvlJc w:val="left"/>
      <w:pPr>
        <w:ind w:left="454" w:hanging="227"/>
      </w:pPr>
      <w:rPr>
        <w:rFonts w:hint="default" w:ascii="Symbol" w:hAnsi="Symbol"/>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hint="default" w:ascii="Symbol" w:hAnsi="Symbol"/>
      </w:rPr>
    </w:lvl>
    <w:lvl w:ilvl="4">
      <w:start w:val="1"/>
      <w:numFmt w:val="bullet"/>
      <w:pStyle w:val="ListBullet2"/>
      <w:lvlText w:val=""/>
      <w:lvlJc w:val="left"/>
      <w:pPr>
        <w:ind w:left="454" w:hanging="227"/>
      </w:pPr>
      <w:rPr>
        <w:rFonts w:hint="default" w:ascii="Symbol" w:hAnsi="Symbol"/>
      </w:rPr>
    </w:lvl>
    <w:lvl w:ilvl="5">
      <w:start w:val="1"/>
      <w:numFmt w:val="bullet"/>
      <w:pStyle w:val="ListBullet3"/>
      <w:lvlText w:val=""/>
      <w:lvlJc w:val="left"/>
      <w:pPr>
        <w:ind w:left="680" w:hanging="226"/>
      </w:pPr>
      <w:rPr>
        <w:rFonts w:hint="default" w:ascii="Symbol" w:hAnsi="Symbol"/>
      </w:rPr>
    </w:lvl>
    <w:lvl w:ilvl="6">
      <w:start w:val="1"/>
      <w:numFmt w:val="bullet"/>
      <w:pStyle w:val="ListBullet4"/>
      <w:lvlText w:val=""/>
      <w:lvlJc w:val="left"/>
      <w:pPr>
        <w:ind w:left="907" w:hanging="227"/>
      </w:pPr>
      <w:rPr>
        <w:rFonts w:hint="default" w:ascii="Symbol" w:hAnsi="Symbol"/>
      </w:rPr>
    </w:lvl>
    <w:lvl w:ilvl="7">
      <w:start w:val="1"/>
      <w:numFmt w:val="bullet"/>
      <w:pStyle w:val="ListBullet5"/>
      <w:lvlText w:val=""/>
      <w:lvlJc w:val="left"/>
      <w:pPr>
        <w:ind w:left="1134" w:hanging="227"/>
      </w:pPr>
      <w:rPr>
        <w:rFonts w:hint="default" w:ascii="Symbol" w:hAnsi="Symbol"/>
      </w:rPr>
    </w:lvl>
    <w:lvl w:ilvl="8">
      <w:start w:val="1"/>
      <w:numFmt w:val="bullet"/>
      <w:lvlText w:val=""/>
      <w:lvlJc w:val="left"/>
      <w:pPr>
        <w:ind w:left="1361" w:hanging="227"/>
      </w:pPr>
      <w:rPr>
        <w:rFonts w:hint="default" w:ascii="Symbol" w:hAnsi="Symbol"/>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06"/>
    <w:rsid w:val="0002682B"/>
    <w:rsid w:val="000406CD"/>
    <w:rsid w:val="000700BD"/>
    <w:rsid w:val="000718AC"/>
    <w:rsid w:val="000903CE"/>
    <w:rsid w:val="00096D1E"/>
    <w:rsid w:val="000A6458"/>
    <w:rsid w:val="000B2869"/>
    <w:rsid w:val="000D01DE"/>
    <w:rsid w:val="000D3556"/>
    <w:rsid w:val="000D523B"/>
    <w:rsid w:val="000D7F02"/>
    <w:rsid w:val="000F1FAD"/>
    <w:rsid w:val="000F24EC"/>
    <w:rsid w:val="000F4CED"/>
    <w:rsid w:val="000F5132"/>
    <w:rsid w:val="00102207"/>
    <w:rsid w:val="00112447"/>
    <w:rsid w:val="00114D80"/>
    <w:rsid w:val="001156D3"/>
    <w:rsid w:val="00124F40"/>
    <w:rsid w:val="00134C94"/>
    <w:rsid w:val="00151C8E"/>
    <w:rsid w:val="00163B0F"/>
    <w:rsid w:val="001665A6"/>
    <w:rsid w:val="001B1792"/>
    <w:rsid w:val="001B29A6"/>
    <w:rsid w:val="001E1FA7"/>
    <w:rsid w:val="001E282A"/>
    <w:rsid w:val="001E48EB"/>
    <w:rsid w:val="001E6D3A"/>
    <w:rsid w:val="0021748C"/>
    <w:rsid w:val="00227D72"/>
    <w:rsid w:val="0024282D"/>
    <w:rsid w:val="002779AB"/>
    <w:rsid w:val="00294778"/>
    <w:rsid w:val="002E2C06"/>
    <w:rsid w:val="002F2A77"/>
    <w:rsid w:val="002F53B8"/>
    <w:rsid w:val="002F75B2"/>
    <w:rsid w:val="003067D8"/>
    <w:rsid w:val="00323B1E"/>
    <w:rsid w:val="0033350F"/>
    <w:rsid w:val="0036184C"/>
    <w:rsid w:val="00365915"/>
    <w:rsid w:val="00372AC0"/>
    <w:rsid w:val="00374196"/>
    <w:rsid w:val="00384A16"/>
    <w:rsid w:val="00387466"/>
    <w:rsid w:val="00395AB5"/>
    <w:rsid w:val="003C3D3E"/>
    <w:rsid w:val="003E3705"/>
    <w:rsid w:val="00411C9F"/>
    <w:rsid w:val="00436750"/>
    <w:rsid w:val="00442153"/>
    <w:rsid w:val="004448D2"/>
    <w:rsid w:val="004554E2"/>
    <w:rsid w:val="00462957"/>
    <w:rsid w:val="00464578"/>
    <w:rsid w:val="0047464B"/>
    <w:rsid w:val="0047496C"/>
    <w:rsid w:val="004754CC"/>
    <w:rsid w:val="00483F63"/>
    <w:rsid w:val="00486220"/>
    <w:rsid w:val="0049233D"/>
    <w:rsid w:val="00495788"/>
    <w:rsid w:val="004B6F57"/>
    <w:rsid w:val="004C0541"/>
    <w:rsid w:val="004D1E9E"/>
    <w:rsid w:val="004E47E0"/>
    <w:rsid w:val="005007DF"/>
    <w:rsid w:val="00527B1E"/>
    <w:rsid w:val="0054380F"/>
    <w:rsid w:val="00555781"/>
    <w:rsid w:val="00584D18"/>
    <w:rsid w:val="00592B46"/>
    <w:rsid w:val="005B1B49"/>
    <w:rsid w:val="005C0352"/>
    <w:rsid w:val="005C25D0"/>
    <w:rsid w:val="005E7EB2"/>
    <w:rsid w:val="005F24E3"/>
    <w:rsid w:val="006113E1"/>
    <w:rsid w:val="006227DA"/>
    <w:rsid w:val="00646795"/>
    <w:rsid w:val="006477E8"/>
    <w:rsid w:val="00661641"/>
    <w:rsid w:val="00664ECB"/>
    <w:rsid w:val="00665C7D"/>
    <w:rsid w:val="00674AAE"/>
    <w:rsid w:val="00694C25"/>
    <w:rsid w:val="006A5423"/>
    <w:rsid w:val="006C4645"/>
    <w:rsid w:val="006D30A0"/>
    <w:rsid w:val="006D5290"/>
    <w:rsid w:val="006E5C06"/>
    <w:rsid w:val="00703360"/>
    <w:rsid w:val="00713BD3"/>
    <w:rsid w:val="00725B00"/>
    <w:rsid w:val="007267E3"/>
    <w:rsid w:val="00754033"/>
    <w:rsid w:val="00783F5F"/>
    <w:rsid w:val="007B0CAA"/>
    <w:rsid w:val="00802AA3"/>
    <w:rsid w:val="00811948"/>
    <w:rsid w:val="00815749"/>
    <w:rsid w:val="00840AA5"/>
    <w:rsid w:val="008453C3"/>
    <w:rsid w:val="0086638D"/>
    <w:rsid w:val="008A1DD7"/>
    <w:rsid w:val="008B5E9A"/>
    <w:rsid w:val="008C3807"/>
    <w:rsid w:val="008C59CA"/>
    <w:rsid w:val="00906968"/>
    <w:rsid w:val="00923720"/>
    <w:rsid w:val="009249ED"/>
    <w:rsid w:val="009324F0"/>
    <w:rsid w:val="00935B8D"/>
    <w:rsid w:val="00936C4F"/>
    <w:rsid w:val="009415BF"/>
    <w:rsid w:val="00957A44"/>
    <w:rsid w:val="00964ADD"/>
    <w:rsid w:val="0098564E"/>
    <w:rsid w:val="00986756"/>
    <w:rsid w:val="009B0C9A"/>
    <w:rsid w:val="009C0788"/>
    <w:rsid w:val="009C1291"/>
    <w:rsid w:val="009C43FC"/>
    <w:rsid w:val="009D2A77"/>
    <w:rsid w:val="009D3CB6"/>
    <w:rsid w:val="009E32A0"/>
    <w:rsid w:val="009E5A09"/>
    <w:rsid w:val="009E5A33"/>
    <w:rsid w:val="00A10CC5"/>
    <w:rsid w:val="00A131A9"/>
    <w:rsid w:val="00A20FB5"/>
    <w:rsid w:val="00A25287"/>
    <w:rsid w:val="00A2777C"/>
    <w:rsid w:val="00A32015"/>
    <w:rsid w:val="00A325E4"/>
    <w:rsid w:val="00A353C1"/>
    <w:rsid w:val="00A364DF"/>
    <w:rsid w:val="00A42022"/>
    <w:rsid w:val="00A5624A"/>
    <w:rsid w:val="00A71276"/>
    <w:rsid w:val="00A722D2"/>
    <w:rsid w:val="00A9042D"/>
    <w:rsid w:val="00A93798"/>
    <w:rsid w:val="00AA5F6F"/>
    <w:rsid w:val="00AB240B"/>
    <w:rsid w:val="00AB465E"/>
    <w:rsid w:val="00AD470F"/>
    <w:rsid w:val="00AE1D8A"/>
    <w:rsid w:val="00AE4C15"/>
    <w:rsid w:val="00AE77FB"/>
    <w:rsid w:val="00AF3525"/>
    <w:rsid w:val="00AF587E"/>
    <w:rsid w:val="00B0608A"/>
    <w:rsid w:val="00B36BAD"/>
    <w:rsid w:val="00B43297"/>
    <w:rsid w:val="00B45BC2"/>
    <w:rsid w:val="00B5045A"/>
    <w:rsid w:val="00B54145"/>
    <w:rsid w:val="00B566FA"/>
    <w:rsid w:val="00B71553"/>
    <w:rsid w:val="00B730FE"/>
    <w:rsid w:val="00B757BD"/>
    <w:rsid w:val="00B929B2"/>
    <w:rsid w:val="00BD1648"/>
    <w:rsid w:val="00BD7A09"/>
    <w:rsid w:val="00C051CC"/>
    <w:rsid w:val="00C23BEF"/>
    <w:rsid w:val="00C36958"/>
    <w:rsid w:val="00C3756F"/>
    <w:rsid w:val="00C5040D"/>
    <w:rsid w:val="00C64E26"/>
    <w:rsid w:val="00CF26AA"/>
    <w:rsid w:val="00CF2C8E"/>
    <w:rsid w:val="00CF7230"/>
    <w:rsid w:val="00D06FA3"/>
    <w:rsid w:val="00D44150"/>
    <w:rsid w:val="00D502C0"/>
    <w:rsid w:val="00D5508C"/>
    <w:rsid w:val="00D601C3"/>
    <w:rsid w:val="00D62009"/>
    <w:rsid w:val="00D83E55"/>
    <w:rsid w:val="00D91EAB"/>
    <w:rsid w:val="00D9787E"/>
    <w:rsid w:val="00DA5EFF"/>
    <w:rsid w:val="00DB58D5"/>
    <w:rsid w:val="00DC6AFC"/>
    <w:rsid w:val="00DC7647"/>
    <w:rsid w:val="00DD326C"/>
    <w:rsid w:val="00DE1695"/>
    <w:rsid w:val="00DF172A"/>
    <w:rsid w:val="00E01F44"/>
    <w:rsid w:val="00E20478"/>
    <w:rsid w:val="00E30307"/>
    <w:rsid w:val="00E32DB8"/>
    <w:rsid w:val="00E37B1D"/>
    <w:rsid w:val="00E72B71"/>
    <w:rsid w:val="00E741D5"/>
    <w:rsid w:val="00E74FB6"/>
    <w:rsid w:val="00E76C33"/>
    <w:rsid w:val="00E94DCD"/>
    <w:rsid w:val="00EB345F"/>
    <w:rsid w:val="00EC096E"/>
    <w:rsid w:val="00ED119D"/>
    <w:rsid w:val="00ED1987"/>
    <w:rsid w:val="00ED1D58"/>
    <w:rsid w:val="00EE0CB5"/>
    <w:rsid w:val="00EE28D7"/>
    <w:rsid w:val="00EF5079"/>
    <w:rsid w:val="00F07475"/>
    <w:rsid w:val="00F108E3"/>
    <w:rsid w:val="00F22AED"/>
    <w:rsid w:val="00F40AFE"/>
    <w:rsid w:val="00F5617D"/>
    <w:rsid w:val="00F80C44"/>
    <w:rsid w:val="00F8197F"/>
    <w:rsid w:val="00FA2046"/>
    <w:rsid w:val="00FB08E7"/>
    <w:rsid w:val="00FE1331"/>
    <w:rsid w:val="00FE7FCB"/>
    <w:rsid w:val="00FF1FC1"/>
    <w:rsid w:val="50819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79B5B"/>
  <w15:chartTrackingRefBased/>
  <w15:docId w15:val="{41E19DAE-FA7E-412C-A151-FB8773F0EF9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cs="Times New Roman" w:asciiTheme="minorHAnsi" w:hAnsiTheme="minorHAnsi" w:eastAsiaTheme="minorEastAsia"/>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uiPriority="19" w:semiHidden="1" w:unhideWhenUsed="1" w:qFormat="1"/>
    <w:lsdException w:name="heading 5" w:uiPriority="19" w:semiHidden="1" w:unhideWhenUsed="1" w:qFormat="1"/>
    <w:lsdException w:name="heading 6" w:uiPriority="19" w:semiHidden="1" w:unhideWhenUsed="1" w:qFormat="1"/>
    <w:lsdException w:name="heading 7" w:uiPriority="19" w:semiHidden="1" w:unhideWhenUsed="1" w:qFormat="1"/>
    <w:lsdException w:name="heading 8" w:uiPriority="19" w:semiHidden="1" w:unhideWhenUsed="1" w:qFormat="1"/>
    <w:lsdException w:name="heading 9" w:uiPriority="19"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semiHidden="1" w:unhideWhenUsed="1"/>
    <w:lsdException w:name="toc 4" w:uiPriority="31" w:semiHidden="1" w:unhideWhenUsed="1"/>
    <w:lsdException w:name="toc 5" w:uiPriority="31" w:semiHidden="1" w:unhideWhenUsed="1"/>
    <w:lsdException w:name="toc 6" w:uiPriority="31" w:semiHidden="1" w:unhideWhenUsed="1"/>
    <w:lsdException w:name="toc 7" w:uiPriority="31" w:semiHidden="1" w:unhideWhenUsed="1"/>
    <w:lsdException w:name="toc 8" w:uiPriority="31" w:semiHidden="1" w:unhideWhenUsed="1"/>
    <w:lsdException w:name="toc 9" w:uiPriority="31" w:semiHidden="1" w:unhideWhenUsed="1"/>
    <w:lsdException w:name="Normal Indent" w:uiPriority="0" w:semiHidden="1" w:unhideWhenUsed="1"/>
    <w:lsdException w:name="footnote text" w:uiPriority="39" w:semiHidden="1" w:unhideWhenUsed="1"/>
    <w:lsdException w:name="annotation text" w:semiHidden="1" w:unhideWhenUsed="1"/>
    <w:lsdException w:name="header" w:uiPriority="39" w:semiHidden="1" w:unhideWhenUsed="1"/>
    <w:lsdException w:name="footer" w:uiPriority="10" w:semiHidden="1" w:unhideWhenUsed="1"/>
    <w:lsdException w:name="index heading" w:uiPriority="0" w:semiHidden="1" w:unhideWhenUsed="1"/>
    <w:lsdException w:name="caption" w:uiPriority="34"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39" w:semiHidden="1" w:unhideWhenUsed="1"/>
    <w:lsdException w:name="annotation reference" w:semiHidden="1" w:unhideWhenUsed="1"/>
    <w:lsdException w:name="line number" w:semiHidden="1" w:unhideWhenUsed="1"/>
    <w:lsdException w:name="page number" w:uiPriority="15" w:semiHidden="1" w:unhideWhenUsed="1"/>
    <w:lsdException w:name="endnote reference" w:uiPriority="39" w:semiHidden="1" w:unhideWhenUsed="1"/>
    <w:lsdException w:name="endnote text" w:uiPriority="39"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semiHidden="1" w:unhideWhenUsed="1" w:qFormat="1"/>
    <w:lsdException w:name="Closing" w:uiPriority="0"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iPriority="0" w:semiHidden="1" w:unhideWhenUsed="1"/>
    <w:lsdException w:name="Subtitle" w:uiPriority="0"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49"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FollowedHyperlink" w:uiPriority="36" w:semiHidden="1" w:unhideWhenUsed="1"/>
    <w:lsdException w:name="Strong" w:uiPriority="49" w:semiHidden="1" w:unhideWhenUsed="1" w:qFormat="1"/>
    <w:lsdException w:name="Emphasis" w:uiPriority="12"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uiPriority="0" w:semiHidden="1" w:unhideWhenUsed="1"/>
    <w:lsdException w:name="HTML Address" w:uiPriority="0" w:semiHidden="1" w:unhideWhenUsed="1"/>
    <w:lsdException w:name="HTML Cite" w:uiPriority="0" w:semiHidden="1" w:unhideWhenUsed="1"/>
    <w:lsdException w:name="HTML Code" w:uiPriority="0" w:semiHidden="1" w:unhideWhenUsed="1"/>
    <w:lsdException w:name="HTML Definition" w:uiPriority="0" w:semiHidden="1" w:unhideWhenUsed="1"/>
    <w:lsdException w:name="HTML Keyboard" w:uiPriority="0" w:semiHidden="1" w:unhideWhenUsed="1"/>
    <w:lsdException w:name="HTML Preformatted" w:uiPriority="0" w:semiHidden="1" w:unhideWhenUsed="1"/>
    <w:lsdException w:name="HTML Sample" w:uiPriority="0" w:semiHidden="1" w:unhideWhenUsed="1"/>
    <w:lsdException w:name="HTML Typewriter" w:uiPriority="0" w:semiHidden="1" w:unhideWhenUsed="1"/>
    <w:lsdException w:name="HTML Variable" w:uiPriority="0" w:semiHidden="1" w:unhideWhenUsed="1"/>
    <w:lsdException w:name="Normal Table" w:semiHidden="1" w:unhideWhenUsed="1"/>
    <w:lsdException w:name="annotation subject" w:semiHidden="1" w:unhideWhenUsed="1"/>
    <w:lsdException w:name="No List" w:semiHidden="1" w:unhideWhenUsed="1"/>
    <w:lsdException w:name="Outline List 1" w:uiPriority="0" w:semiHidden="1" w:unhideWhenUsed="1"/>
    <w:lsdException w:name="Outline List 2" w:uiPriority="0"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uiPriority="0" w:semiHidden="1" w:unhideWhenUsed="1"/>
    <w:lsdException w:name="Table Classic 2" w:uiPriority="0" w:semiHidden="1" w:unhideWhenUsed="1"/>
    <w:lsdException w:name="Table Classic 3" w:uiPriority="0" w:semiHidden="1" w:unhideWhenUsed="1"/>
    <w:lsdException w:name="Table Classic 4" w:uiPriority="0" w:semiHidden="1" w:unhideWhenUsed="1"/>
    <w:lsdException w:name="Table Colorful 1" w:uiPriority="0" w:semiHidden="1" w:unhideWhenUsed="1"/>
    <w:lsdException w:name="Table Colorful 2" w:uiPriority="0" w:semiHidden="1" w:unhideWhenUsed="1"/>
    <w:lsdException w:name="Table Colorful 3" w:uiPriority="0"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uiPriority="0" w:semiHidden="1" w:unhideWhenUsed="1"/>
    <w:lsdException w:name="Table 3D effects 2" w:uiPriority="0" w:semiHidden="1" w:unhideWhenUsed="1"/>
    <w:lsdException w:name="Table 3D effects 3" w:uiPriority="0" w:semiHidden="1" w:unhideWhenUsed="1"/>
    <w:lsdException w:name="Table Contemporary" w:uiPriority="0" w:semiHidden="1" w:unhideWhenUsed="1"/>
    <w:lsdException w:name="Table Elegant" w:uiPriority="0"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uiPriority="31" w:semiHidden="1" w:unhideWhenUsed="1" w:qFormat="1"/>
    <w:lsdException w:name="Intense Reference" w:semiHidden="1" w:unhideWhenUsed="1" w:qFormat="1"/>
    <w:lsdException w:name="Book Title" w:semiHidden="1" w:unhideWhenUsed="1" w:qFormat="1"/>
    <w:lsdException w:name="Bibliography" w:uiPriority="33"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8"/>
      </w:numPr>
      <w:spacing w:after="280" w:line="320" w:lineRule="exact"/>
      <w:contextualSpacing/>
      <w:outlineLvl w:val="0"/>
    </w:pPr>
    <w:rPr>
      <w:rFonts w:cs="Arial" w:asciiTheme="majorHAnsi" w:hAnsiTheme="majorHAnsi"/>
      <w:bCs/>
      <w:sz w:val="28"/>
      <w:szCs w:val="28"/>
      <w:lang w:eastAsia="de-DE"/>
    </w:rPr>
  </w:style>
  <w:style w:type="paragraph" w:styleId="Heading2">
    <w:name w:val="heading 2"/>
    <w:basedOn w:val="Normal"/>
    <w:next w:val="Normal"/>
    <w:link w:val="Heading2Char"/>
    <w:uiPriority w:val="19"/>
    <w:qFormat/>
    <w:rsid w:val="002779AB"/>
    <w:pPr>
      <w:keepNext/>
      <w:numPr>
        <w:ilvl w:val="1"/>
        <w:numId w:val="8"/>
      </w:numPr>
      <w:spacing w:after="240"/>
      <w:contextualSpacing/>
      <w:outlineLvl w:val="1"/>
    </w:pPr>
    <w:rPr>
      <w:rFonts w:cs="Arial" w:asciiTheme="majorHAnsi" w:hAnsiTheme="majorHAnsi"/>
      <w:bCs/>
      <w:sz w:val="24"/>
      <w:szCs w:val="24"/>
      <w:lang w:eastAsia="de-DE"/>
    </w:rPr>
  </w:style>
  <w:style w:type="paragraph" w:styleId="Heading3">
    <w:name w:val="heading 3"/>
    <w:basedOn w:val="Normal"/>
    <w:next w:val="Normal"/>
    <w:link w:val="Heading3Char"/>
    <w:uiPriority w:val="19"/>
    <w:qFormat/>
    <w:rsid w:val="002779AB"/>
    <w:pPr>
      <w:keepNext/>
      <w:numPr>
        <w:ilvl w:val="2"/>
        <w:numId w:val="8"/>
      </w:numPr>
      <w:spacing w:after="240"/>
      <w:contextualSpacing/>
      <w:outlineLvl w:val="2"/>
    </w:pPr>
    <w:rPr>
      <w:rFonts w:cs="Arial" w:asciiTheme="majorHAnsi" w:hAnsiTheme="majorHAnsi"/>
      <w:szCs w:val="18"/>
      <w:lang w:eastAsia="de-DE"/>
    </w:rPr>
  </w:style>
  <w:style w:type="paragraph" w:styleId="Heading4">
    <w:name w:val="heading 4"/>
    <w:basedOn w:val="Normal"/>
    <w:next w:val="Normal"/>
    <w:link w:val="Heading4Char"/>
    <w:uiPriority w:val="19"/>
    <w:unhideWhenUsed/>
    <w:qFormat/>
    <w:rsid w:val="009E5A33"/>
    <w:pPr>
      <w:keepNext/>
      <w:numPr>
        <w:ilvl w:val="3"/>
        <w:numId w:val="8"/>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8"/>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14"/>
    <w:unhideWhenUsed/>
    <w:rsid w:val="00DB58D5"/>
  </w:style>
  <w:style w:type="character" w:styleId="HeaderChar" w:customStyle="1">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styleId="FooterChar" w:customStyle="1">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styleId="BasisTabelle" w:customStyle="1">
    <w:name w:val="Basis Tabelle"/>
    <w:basedOn w:val="TableNormal"/>
    <w:rsid w:val="000B2869"/>
    <w:rPr>
      <w:lang w:eastAsia="de-CH"/>
    </w:rPr>
    <w:tblPr>
      <w:tblStyleRowBandSize w:val="1"/>
      <w:tblBorders>
        <w:bottom w:val="single" w:color="808080" w:sz="2" w:space="0"/>
        <w:insideH w:val="single" w:color="808080" w:sz="2" w:space="0"/>
      </w:tblBorders>
      <w:tblCellMar>
        <w:top w:w="57" w:type="dxa"/>
        <w:left w:w="57" w:type="dxa"/>
        <w:bottom w:w="57" w:type="dxa"/>
        <w:right w:w="57" w:type="dxa"/>
      </w:tblCellMar>
    </w:tblPr>
    <w:tblStylePr w:type="firstRow">
      <w:rPr>
        <w:rFonts w:asciiTheme="majorHAnsi" w:hAnsiTheme="majorHAnsi"/>
        <w:b w:val="0"/>
      </w:rPr>
      <w:tblPr/>
      <w:tcPr>
        <w:tcBorders>
          <w:bottom w:val="single" w:color="808080" w:sz="4" w:space="0"/>
        </w:tcBorders>
      </w:tcPr>
    </w:tblStylePr>
    <w:tblStylePr w:type="band1Horz">
      <w:tblPr/>
      <w:tcPr>
        <w:tcBorders>
          <w:bottom w:val="single" w:color="808080" w:sz="4" w:space="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hAnchor="text" w:v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styleId="BulletpointsEbene1" w:customStyl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styleId="BulletpointsEbene2" w:customStyle="1">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styleId="DocumentMapChar" w:customStyle="1">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styleId="ClosingChar" w:customStyle="1">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styleId="HTMLAddressChar" w:customStyle="1">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styleId="HTMLPreformattedChar" w:customStyle="1">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color="auto" w:sz="6" w:space="1"/>
        <w:left w:val="single" w:color="auto" w:sz="6" w:space="1"/>
        <w:bottom w:val="single" w:color="auto" w:sz="6" w:space="1"/>
        <w:right w:val="single" w:color="auto" w:sz="6" w:space="1"/>
      </w:pBdr>
      <w:shd w:val="pct20" w:color="auto" w:fill="auto"/>
      <w:ind w:left="1134" w:hanging="1134"/>
    </w:pPr>
    <w:rPr>
      <w:sz w:val="24"/>
    </w:rPr>
  </w:style>
  <w:style w:type="character" w:styleId="MessageHeaderChar" w:customStyle="1">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Colorful1">
    <w:name w:val="Table Colorful 1"/>
    <w:basedOn w:val="TableNormal"/>
    <w:semiHidden/>
    <w:rsid w:val="00E94DCD"/>
    <w:rPr>
      <w:rFonts w:ascii="Arial" w:hAnsi="Arial"/>
      <w:color w:val="FFFFFF"/>
      <w:lang w:eastAsia="de-CH"/>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semiHidden/>
    <w:rsid w:val="00E94DCD"/>
    <w:rPr>
      <w:rFonts w:ascii="Arial" w:hAnsi="Arial"/>
      <w:lang w:eastAsia="de-CH"/>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semiHidden/>
    <w:rsid w:val="00E94DCD"/>
    <w:rPr>
      <w:rFonts w:ascii="Arial" w:hAnsi="Arial"/>
      <w:lang w:eastAsia="de-CH"/>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E94DCD"/>
    <w:rPr>
      <w:rFonts w:ascii="Arial" w:hAnsi="Arial"/>
      <w:lang w:eastAsia="de-CH"/>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E94DCD"/>
    <w:rPr>
      <w:rFonts w:ascii="Arial" w:hAnsi="Arial"/>
      <w:color w:val="000080"/>
      <w:lang w:eastAsia="de-CH"/>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E94DCD"/>
    <w:rPr>
      <w:rFonts w:ascii="Arial" w:hAnsi="Arial"/>
      <w:lang w:eastAsia="de-CH"/>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Grid">
    <w:name w:val="Table Grid"/>
    <w:basedOn w:val="TableNormal"/>
    <w:uiPriority w:val="59"/>
    <w:rsid w:val="00DB58D5"/>
    <w:rPr>
      <w:lang w:eastAsia="de-C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styleId="TitleChar" w:customStyle="1">
    <w:name w:val="Title Char"/>
    <w:link w:val="Title"/>
    <w:uiPriority w:val="1"/>
    <w:semiHidden/>
    <w:rsid w:val="001E1FA7"/>
    <w:rPr>
      <w:rFonts w:ascii="Arial Fett" w:hAnsi="Arial Fett" w:cs="Times New Roman"/>
      <w:b/>
      <w:bCs/>
      <w:smallCaps/>
      <w:sz w:val="32"/>
      <w:szCs w:val="32"/>
    </w:rPr>
  </w:style>
  <w:style w:type="character" w:styleId="Heading1Char" w:customStyle="1">
    <w:name w:val="Heading 1 Char"/>
    <w:link w:val="Heading1"/>
    <w:uiPriority w:val="19"/>
    <w:rsid w:val="002779AB"/>
    <w:rPr>
      <w:rFonts w:cs="Arial" w:asciiTheme="majorHAnsi" w:hAnsiTheme="majorHAnsi"/>
      <w:bCs/>
      <w:sz w:val="28"/>
      <w:szCs w:val="28"/>
      <w:lang w:eastAsia="de-DE"/>
    </w:rPr>
  </w:style>
  <w:style w:type="character" w:styleId="Heading2Char" w:customStyle="1">
    <w:name w:val="Heading 2 Char"/>
    <w:link w:val="Heading2"/>
    <w:uiPriority w:val="19"/>
    <w:rsid w:val="002779AB"/>
    <w:rPr>
      <w:rFonts w:cs="Arial" w:asciiTheme="majorHAnsi" w:hAnsiTheme="majorHAnsi"/>
      <w:bCs/>
      <w:sz w:val="24"/>
      <w:szCs w:val="24"/>
      <w:lang w:eastAsia="de-DE"/>
    </w:rPr>
  </w:style>
  <w:style w:type="character" w:styleId="Heading3Char" w:customStyle="1">
    <w:name w:val="Heading 3 Char"/>
    <w:link w:val="Heading3"/>
    <w:uiPriority w:val="19"/>
    <w:rsid w:val="002779AB"/>
    <w:rPr>
      <w:rFonts w:cs="Arial" w:asciiTheme="majorHAnsi" w:hAnsiTheme="majorHAnsi"/>
      <w:szCs w:val="18"/>
      <w:lang w:eastAsia="de-DE"/>
    </w:rPr>
  </w:style>
  <w:style w:type="character" w:styleId="Heading4Char" w:customStyle="1">
    <w:name w:val="Heading 4 Char"/>
    <w:link w:val="Heading4"/>
    <w:uiPriority w:val="19"/>
    <w:rsid w:val="009E5A33"/>
    <w:rPr>
      <w:rFonts w:cs="Arial"/>
      <w:szCs w:val="18"/>
      <w:lang w:eastAsia="de-DE"/>
    </w:rPr>
  </w:style>
  <w:style w:type="character" w:styleId="Heading5Char" w:customStyle="1">
    <w:name w:val="Heading 5 Char"/>
    <w:link w:val="Heading5"/>
    <w:uiPriority w:val="19"/>
    <w:rsid w:val="000B2869"/>
    <w:rPr>
      <w:rFonts w:cs="Arial"/>
      <w:szCs w:val="18"/>
      <w:lang w:eastAsia="de-DE"/>
    </w:rPr>
  </w:style>
  <w:style w:type="character" w:styleId="Heading6Char" w:customStyle="1">
    <w:name w:val="Heading 6 Char"/>
    <w:link w:val="Heading6"/>
    <w:uiPriority w:val="19"/>
    <w:semiHidden/>
    <w:rsid w:val="001E1FA7"/>
    <w:rPr>
      <w:bCs/>
      <w:sz w:val="18"/>
      <w:lang w:eastAsia="de-DE"/>
    </w:rPr>
  </w:style>
  <w:style w:type="character" w:styleId="Heading7Char" w:customStyle="1">
    <w:name w:val="Heading 7 Char"/>
    <w:link w:val="Heading7"/>
    <w:uiPriority w:val="19"/>
    <w:semiHidden/>
    <w:rsid w:val="001E1FA7"/>
    <w:rPr>
      <w:sz w:val="18"/>
      <w:szCs w:val="24"/>
      <w:lang w:eastAsia="de-DE"/>
    </w:rPr>
  </w:style>
  <w:style w:type="character" w:styleId="Heading8Char" w:customStyle="1">
    <w:name w:val="Heading 8 Char"/>
    <w:link w:val="Heading8"/>
    <w:uiPriority w:val="19"/>
    <w:semiHidden/>
    <w:rsid w:val="001E1FA7"/>
    <w:rPr>
      <w:iCs/>
      <w:sz w:val="18"/>
      <w:szCs w:val="24"/>
      <w:lang w:eastAsia="de-DE"/>
    </w:rPr>
  </w:style>
  <w:style w:type="character" w:styleId="Heading9Char" w:customStyle="1">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styleId="SubtitleChar" w:customStyle="1">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styleId="FusszeilePfad" w:customStyle="1">
    <w:name w:val="Fusszeile Pfad"/>
    <w:basedOn w:val="Footer"/>
    <w:uiPriority w:val="9"/>
    <w:rsid w:val="00DB58D5"/>
    <w:pPr>
      <w:jc w:val="center"/>
    </w:pPr>
  </w:style>
  <w:style w:type="paragraph" w:styleId="BulletpointsLevel1" w:customStyle="1">
    <w:name w:val="Bulletpoints Level 1"/>
    <w:basedOn w:val="Normal"/>
    <w:uiPriority w:val="3"/>
    <w:qFormat/>
    <w:rsid w:val="00E37B1D"/>
    <w:pPr>
      <w:numPr>
        <w:numId w:val="5"/>
      </w:numPr>
      <w:tabs>
        <w:tab w:val="right" w:pos="454"/>
      </w:tabs>
      <w:spacing w:before="60"/>
    </w:pPr>
  </w:style>
  <w:style w:type="paragraph" w:styleId="BulletpointsLevel2" w:customStyle="1">
    <w:name w:val="Bulletpoints Level 2"/>
    <w:basedOn w:val="Normal"/>
    <w:uiPriority w:val="4"/>
    <w:qFormat/>
    <w:rsid w:val="00DB58D5"/>
    <w:pPr>
      <w:numPr>
        <w:ilvl w:val="1"/>
        <w:numId w:val="5"/>
      </w:numPr>
    </w:pPr>
  </w:style>
  <w:style w:type="paragraph" w:styleId="Lettering" w:customStyle="1">
    <w:name w:val="Lettering"/>
    <w:basedOn w:val="Normal"/>
    <w:uiPriority w:val="5"/>
    <w:qFormat/>
    <w:rsid w:val="00DB58D5"/>
    <w:pPr>
      <w:numPr>
        <w:numId w:val="11"/>
      </w:numPr>
      <w:spacing w:before="60"/>
    </w:pPr>
  </w:style>
  <w:style w:type="paragraph" w:styleId="noBulletpoint" w:customStyle="1">
    <w:name w:val="noBulletpoint"/>
    <w:basedOn w:val="Normal"/>
    <w:uiPriority w:val="4"/>
    <w:qFormat/>
    <w:rsid w:val="00DB58D5"/>
    <w:pPr>
      <w:numPr>
        <w:ilvl w:val="2"/>
        <w:numId w:val="5"/>
      </w:numPr>
      <w:spacing w:before="60"/>
    </w:pPr>
  </w:style>
  <w:style w:type="paragraph" w:styleId="Numbering" w:customStyle="1">
    <w:name w:val="Numbering"/>
    <w:basedOn w:val="Normal"/>
    <w:uiPriority w:val="6"/>
    <w:qFormat/>
    <w:rsid w:val="00DB58D5"/>
    <w:pPr>
      <w:numPr>
        <w:numId w:val="10"/>
      </w:numPr>
      <w:spacing w:before="60"/>
    </w:pPr>
  </w:style>
  <w:style w:type="paragraph" w:styleId="SensirionSubtitle" w:customStyle="1">
    <w:name w:val="Sensirion Subtitle"/>
    <w:basedOn w:val="Normal"/>
    <w:uiPriority w:val="2"/>
    <w:qFormat/>
    <w:rsid w:val="002779AB"/>
    <w:pPr>
      <w:spacing w:line="260" w:lineRule="exact"/>
      <w:contextualSpacing/>
    </w:pPr>
    <w:rPr>
      <w:rFonts w:asciiTheme="majorHAnsi" w:hAnsiTheme="majorHAnsi"/>
      <w:lang w:eastAsia="de-DE"/>
    </w:rPr>
  </w:style>
  <w:style w:type="paragraph" w:styleId="SensirionTitle" w:customStyle="1">
    <w:name w:val="Sensirion Title"/>
    <w:basedOn w:val="Normal"/>
    <w:uiPriority w:val="1"/>
    <w:qFormat/>
    <w:rsid w:val="002779AB"/>
    <w:pPr>
      <w:spacing w:line="320" w:lineRule="exact"/>
      <w:contextualSpacing/>
    </w:pPr>
    <w:rPr>
      <w:rFonts w:asciiTheme="majorHAnsi" w:hAnsiTheme="majorHAnsi"/>
      <w:sz w:val="28"/>
    </w:rPr>
  </w:style>
  <w:style w:type="paragraph" w:styleId="Marginale" w:customStyle="1">
    <w:name w:val="Marginale"/>
    <w:basedOn w:val="Normal"/>
    <w:uiPriority w:val="7"/>
    <w:qFormat/>
    <w:rsid w:val="001665A6"/>
    <w:pPr>
      <w:framePr w:w="2268" w:hSpace="567" w:wrap="around" w:hAnchor="text" w:vAnchor="text" w:xAlign="right" w:y="1"/>
    </w:pPr>
    <w:rPr>
      <w:color w:val="66CC33" w:themeColor="accent1"/>
    </w:rPr>
  </w:style>
  <w:style w:type="paragraph" w:styleId="MarginaleText" w:customStyle="1">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styleId="QuoteChar" w:customStyle="1">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styleId="EndnoteTextChar" w:customStyle="1">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styleId="FootnoteTextChar" w:customStyle="1">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color="C8BBBB" w:sz="8" w:space="0"/>
        <w:bottom w:val="single" w:color="C8BBBB" w:sz="8" w:space="0"/>
      </w:tblBorders>
      <w:tblCellMar>
        <w:top w:w="28" w:type="dxa"/>
        <w:left w:w="0" w:type="dxa"/>
        <w:bottom w:w="28" w:type="dxa"/>
        <w:right w:w="0" w:type="dxa"/>
      </w:tblCellMar>
    </w:tblPr>
    <w:tblStylePr w:type="firstRow">
      <w:pPr>
        <w:spacing w:before="0" w:after="0" w:line="240" w:lineRule="auto"/>
      </w:pPr>
      <w:rPr>
        <w:b/>
        <w:bCs/>
      </w:rPr>
      <w:tblPr/>
      <w:tcPr>
        <w:tcBorders>
          <w:top w:val="single" w:color="C8BBBB" w:sz="8" w:space="0"/>
          <w:left w:val="nil"/>
          <w:bottom w:val="single" w:color="C8BBBB" w:sz="8" w:space="0"/>
          <w:right w:val="nil"/>
          <w:insideH w:val="nil"/>
          <w:insideV w:val="nil"/>
        </w:tcBorders>
      </w:tcPr>
    </w:tblStylePr>
    <w:tblStylePr w:type="lastRow">
      <w:pPr>
        <w:spacing w:before="0" w:after="0" w:line="240" w:lineRule="auto"/>
      </w:pPr>
      <w:rPr>
        <w:b w:val="0"/>
        <w:bCs/>
      </w:rPr>
      <w:tblPr/>
      <w:tcPr>
        <w:tcBorders>
          <w:top w:val="nil"/>
          <w:left w:val="nil"/>
          <w:bottom w:val="single" w:color="C8BBBB" w:sz="8" w:space="0"/>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color="EBE6E6" w:sz="8" w:space="0"/>
        <w:bottom w:val="single" w:color="EBE6E6" w:sz="8" w:space="0"/>
      </w:tblBorders>
    </w:tblPr>
    <w:tblStylePr w:type="firstRow">
      <w:rPr>
        <w:rFonts w:ascii="Arial Narrow" w:hAnsi="Arial Narrow" w:eastAsia="Times New Roman" w:cs="Times New Roman"/>
      </w:rPr>
      <w:tblPr/>
      <w:tcPr>
        <w:tcBorders>
          <w:top w:val="nil"/>
          <w:bottom w:val="single" w:color="EBE6E6" w:sz="8" w:space="0"/>
        </w:tcBorders>
      </w:tcPr>
    </w:tblStylePr>
    <w:tblStylePr w:type="lastRow">
      <w:rPr>
        <w:b/>
        <w:bCs/>
        <w:color w:val="000000"/>
      </w:rPr>
      <w:tblPr/>
      <w:tcPr>
        <w:tcBorders>
          <w:top w:val="single" w:color="EBE6E6" w:sz="8" w:space="0"/>
          <w:bottom w:val="single" w:color="EBE6E6" w:sz="8" w:space="0"/>
        </w:tcBorders>
      </w:tcPr>
    </w:tblStylePr>
    <w:tblStylePr w:type="firstCol">
      <w:rPr>
        <w:b/>
        <w:bCs/>
      </w:rPr>
    </w:tblStylePr>
    <w:tblStylePr w:type="lastCol">
      <w:rPr>
        <w:b/>
        <w:bCs/>
      </w:rPr>
      <w:tblPr/>
      <w:tcPr>
        <w:tcBorders>
          <w:top w:val="single" w:color="EBE6E6" w:sz="8" w:space="0"/>
          <w:bottom w:val="single" w:color="EBE6E6" w:sz="8" w:space="0"/>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styleId="SensirionListealt" w:customStyle="1">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styleId="BalloonTextChar" w:customStyle="1">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styleId="SensirionListBulletPoints" w:customStyle="1">
    <w:name w:val="Sensirion List Bullet Points"/>
    <w:uiPriority w:val="99"/>
    <w:rsid w:val="00C3756F"/>
    <w:pPr>
      <w:numPr>
        <w:numId w:val="5"/>
      </w:numPr>
    </w:pPr>
  </w:style>
  <w:style w:type="numbering" w:styleId="SensirionList123Heading" w:customStyle="1">
    <w:name w:val="Sensirion List 123 Heading"/>
    <w:uiPriority w:val="99"/>
    <w:rsid w:val="00A93798"/>
    <w:pPr>
      <w:numPr>
        <w:numId w:val="7"/>
      </w:numPr>
    </w:pPr>
  </w:style>
  <w:style w:type="numbering" w:styleId="SensirionList123Numbering" w:customStyle="1">
    <w:name w:val="Sensirion List 123 Numbering"/>
    <w:uiPriority w:val="99"/>
    <w:rsid w:val="000903CE"/>
    <w:pPr>
      <w:numPr>
        <w:numId w:val="10"/>
      </w:numPr>
    </w:pPr>
  </w:style>
  <w:style w:type="numbering" w:styleId="SensirionListabcLettering" w:customStyle="1">
    <w:name w:val="Sensirion List abc Lettering"/>
    <w:uiPriority w:val="99"/>
    <w:rsid w:val="000903CE"/>
    <w:pPr>
      <w:numPr>
        <w:numId w:val="11"/>
      </w:numPr>
    </w:pPr>
  </w:style>
  <w:style w:type="character" w:styleId="CommentReference">
    <w:name w:val="annotation reference"/>
    <w:basedOn w:val="DefaultParagraphFont"/>
    <w:uiPriority w:val="99"/>
    <w:semiHidden/>
    <w:unhideWhenUsed/>
    <w:rsid w:val="00E741D5"/>
    <w:rPr>
      <w:sz w:val="16"/>
      <w:szCs w:val="16"/>
    </w:rPr>
  </w:style>
  <w:style w:type="paragraph" w:styleId="CommentText">
    <w:name w:val="annotation text"/>
    <w:basedOn w:val="Normal"/>
    <w:link w:val="CommentTextChar"/>
    <w:uiPriority w:val="99"/>
    <w:unhideWhenUsed/>
    <w:rsid w:val="00E741D5"/>
    <w:pPr>
      <w:spacing w:line="240" w:lineRule="auto"/>
    </w:pPr>
  </w:style>
  <w:style w:type="character" w:styleId="CommentTextChar" w:customStyle="1">
    <w:name w:val="Comment Text Char"/>
    <w:basedOn w:val="DefaultParagraphFont"/>
    <w:link w:val="CommentText"/>
    <w:uiPriority w:val="99"/>
    <w:rsid w:val="00E741D5"/>
  </w:style>
  <w:style w:type="paragraph" w:styleId="paragraph" w:customStyle="1">
    <w:name w:val="paragraph"/>
    <w:basedOn w:val="Normal"/>
    <w:rsid w:val="001E48EB"/>
    <w:pPr>
      <w:spacing w:before="100" w:beforeAutospacing="1" w:after="100" w:afterAutospacing="1" w:line="240" w:lineRule="auto"/>
    </w:pPr>
    <w:rPr>
      <w:rFonts w:ascii="Times New Roman" w:hAnsi="Times New Roman" w:eastAsia="Times New Roman"/>
      <w:sz w:val="24"/>
      <w:szCs w:val="24"/>
      <w:lang w:val="de-CH"/>
    </w:rPr>
  </w:style>
  <w:style w:type="character" w:styleId="normaltextrun" w:customStyle="1">
    <w:name w:val="normaltextrun"/>
    <w:basedOn w:val="DefaultParagraphFont"/>
    <w:rsid w:val="001E48EB"/>
  </w:style>
  <w:style w:type="paragraph" w:styleId="Revision">
    <w:name w:val="Revision"/>
    <w:hidden/>
    <w:uiPriority w:val="99"/>
    <w:semiHidden/>
    <w:rsid w:val="00555781"/>
  </w:style>
  <w:style w:type="paragraph" w:styleId="CommentSubject">
    <w:name w:val="annotation subject"/>
    <w:basedOn w:val="CommentText"/>
    <w:next w:val="CommentText"/>
    <w:link w:val="CommentSubjectChar"/>
    <w:uiPriority w:val="99"/>
    <w:semiHidden/>
    <w:unhideWhenUsed/>
    <w:rsid w:val="00555781"/>
    <w:rPr>
      <w:b/>
      <w:bCs/>
    </w:rPr>
  </w:style>
  <w:style w:type="character" w:styleId="CommentSubjectChar" w:customStyle="1">
    <w:name w:val="Comment Subject Char"/>
    <w:basedOn w:val="CommentTextChar"/>
    <w:link w:val="CommentSubject"/>
    <w:uiPriority w:val="99"/>
    <w:semiHidden/>
    <w:rsid w:val="005557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813493">
      <w:bodyDiv w:val="1"/>
      <w:marLeft w:val="0"/>
      <w:marRight w:val="0"/>
      <w:marTop w:val="0"/>
      <w:marBottom w:val="0"/>
      <w:divBdr>
        <w:top w:val="none" w:sz="0" w:space="0" w:color="auto"/>
        <w:left w:val="none" w:sz="0" w:space="0" w:color="auto"/>
        <w:bottom w:val="none" w:sz="0" w:space="0" w:color="auto"/>
        <w:right w:val="none" w:sz="0" w:space="0" w:color="auto"/>
      </w:divBdr>
    </w:div>
    <w:div w:id="1008488629">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sensirion.com"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kuvasystems.com"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sensirion-connected.com"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sensirion.com/additional-performance-measures"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sensinet.sharepoint.com/sites/AZ-365-S00000603/Shared%20Documents/General/Press/01_Templates/Holding_MediaRelease_EN.dotx?OR=81dd2b71-fb82-4b33-ac71-fed46bf0f87a&amp;CID=4d99a2a1-809e-c000-d8e9-ddb1fb3a6748&amp;CT=1748444389354"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0aabecb2-966d-44cb-b246-a4b91e0a39eb"/>
    <ds:schemaRef ds:uri="7356de10-6ff8-4377-b220-392ca2b18f81"/>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36539FB0-6A75-4B50-A2AA-D94B9791D9F0}"/>
</file>

<file path=customXml/itemProps3.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4.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Holding_MediaRelease_EN.dotx?OR=81dd2b71-fb82-4b33-ac71-fed46bf0f87a&amp;CID=4d99a2a1-809e-c000-d8e9-ddb1fb3a6748&amp;CT=1748444389354</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Philipp Seidel</cp:lastModifiedBy>
  <cp:revision>35</cp:revision>
  <cp:lastPrinted>2023-10-10T02:18:00Z</cp:lastPrinted>
  <dcterms:created xsi:type="dcterms:W3CDTF">2025-05-29T08:59:00Z</dcterms:created>
  <dcterms:modified xsi:type="dcterms:W3CDTF">2025-06-02T14:22:49Z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